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left"/>
        <w:textAlignment w:val="center"/>
        <w:outlineLvl w:val="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评分细则</w:t>
      </w:r>
    </w:p>
    <w:tbl>
      <w:tblPr>
        <w:tblStyle w:val="8"/>
        <w:tblW w:w="843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"/>
        <w:gridCol w:w="1527"/>
        <w:gridCol w:w="5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07" w:type="dxa"/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条款序号</w:t>
            </w:r>
          </w:p>
        </w:tc>
        <w:tc>
          <w:tcPr>
            <w:tcW w:w="152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评审因素</w:t>
            </w:r>
          </w:p>
        </w:tc>
        <w:tc>
          <w:tcPr>
            <w:tcW w:w="589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评审标准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0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bidi="ar"/>
              </w:rPr>
              <w:t>价格分（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"/>
              </w:rPr>
              <w:t>30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bidi="ar"/>
              </w:rPr>
              <w:t>分）</w:t>
            </w:r>
          </w:p>
        </w:tc>
        <w:tc>
          <w:tcPr>
            <w:tcW w:w="152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价格分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30分）</w:t>
            </w:r>
          </w:p>
        </w:tc>
        <w:tc>
          <w:tcPr>
            <w:tcW w:w="5899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仿宋" w:hAnsi="仿宋" w:eastAsia="仿宋" w:cs="仿宋"/>
                <w:sz w:val="24"/>
                <w:szCs w:val="24"/>
                <w:highlight w:val="yellow"/>
                <w:lang w:val="en-US"/>
              </w:rPr>
            </w:pPr>
            <w:bookmarkStart w:id="0" w:name="_GoBack"/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shd w:val="clear" w:fill="FFFFFF" w:themeFill="background1"/>
                <w:lang w:val="en-US" w:eastAsia="zh-CN" w:bidi="ar"/>
              </w:rPr>
              <w:t>投标报价以控费目标耗占比45%为基准，45%得0分，每降低1%，得3分。最多得30分。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1007" w:type="dxa"/>
            <w:vMerge w:val="restart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技术部分（45）</w:t>
            </w:r>
          </w:p>
        </w:tc>
        <w:tc>
          <w:tcPr>
            <w:tcW w:w="1527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供货方案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Hans"/>
              </w:rPr>
              <w:t>分）</w:t>
            </w:r>
          </w:p>
        </w:tc>
        <w:tc>
          <w:tcPr>
            <w:tcW w:w="5899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2"/>
                <w:sz w:val="24"/>
                <w:szCs w:val="24"/>
                <w:highlight w:val="none"/>
              </w:rPr>
              <w:t>评标委员会根据供应</w:t>
            </w:r>
            <w:r>
              <w:rPr>
                <w:rFonts w:hint="eastAsia" w:ascii="仿宋" w:hAnsi="仿宋" w:eastAsia="仿宋" w:cs="仿宋"/>
                <w:color w:val="auto"/>
                <w:spacing w:val="1"/>
                <w:sz w:val="24"/>
                <w:szCs w:val="24"/>
                <w:highlight w:val="none"/>
              </w:rPr>
              <w:t>商提供的供货阶段方案，从以下5方面进行评审：①</w:t>
            </w:r>
            <w:r>
              <w:rPr>
                <w:rFonts w:hint="eastAsia" w:ascii="仿宋" w:hAnsi="仿宋" w:eastAsia="仿宋" w:cs="仿宋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按计划表及到货时间供货的保证</w:t>
            </w:r>
            <w:r>
              <w:rPr>
                <w:rFonts w:hint="eastAsia" w:ascii="仿宋" w:hAnsi="仿宋" w:eastAsia="仿宋" w:cs="仿宋"/>
                <w:color w:val="auto"/>
                <w:spacing w:val="-2"/>
                <w:sz w:val="24"/>
                <w:szCs w:val="24"/>
                <w:highlight w:val="none"/>
              </w:rPr>
              <w:t>；②供货计</w:t>
            </w:r>
            <w:r>
              <w:rPr>
                <w:rFonts w:hint="eastAsia" w:ascii="仿宋" w:hAnsi="仿宋" w:eastAsia="仿宋" w:cs="仿宋"/>
                <w:color w:val="auto"/>
                <w:spacing w:val="-1"/>
                <w:sz w:val="24"/>
                <w:szCs w:val="24"/>
                <w:highlight w:val="none"/>
              </w:rPr>
              <w:t>划；③人员配置；④供货</w:t>
            </w:r>
            <w:r>
              <w:rPr>
                <w:rFonts w:hint="eastAsia" w:ascii="仿宋" w:hAnsi="仿宋" w:eastAsia="仿宋" w:cs="仿宋"/>
                <w:color w:val="auto"/>
                <w:spacing w:val="-1"/>
                <w:sz w:val="24"/>
                <w:szCs w:val="24"/>
                <w:highlight w:val="none"/>
                <w:lang w:val="en-US" w:eastAsia="zh-CN"/>
              </w:rPr>
              <w:t>现场服务方案</w:t>
            </w:r>
            <w:r>
              <w:rPr>
                <w:rFonts w:hint="eastAsia" w:ascii="仿宋" w:hAnsi="仿宋" w:eastAsia="仿宋" w:cs="仿宋"/>
                <w:color w:val="auto"/>
                <w:spacing w:val="-1"/>
                <w:sz w:val="24"/>
                <w:szCs w:val="24"/>
                <w:highlight w:val="none"/>
              </w:rPr>
              <w:t>；⑤</w:t>
            </w:r>
            <w:r>
              <w:rPr>
                <w:rFonts w:hint="eastAsia" w:ascii="仿宋" w:hAnsi="仿宋" w:eastAsia="仿宋" w:cs="仿宋"/>
                <w:color w:val="auto"/>
                <w:spacing w:val="-1"/>
                <w:sz w:val="24"/>
                <w:szCs w:val="24"/>
                <w:highlight w:val="none"/>
                <w:lang w:val="en-US" w:eastAsia="zh-CN"/>
              </w:rPr>
              <w:t>配送货物的运输方案。</w:t>
            </w:r>
            <w:r>
              <w:rPr>
                <w:rFonts w:hint="eastAsia" w:ascii="仿宋" w:hAnsi="仿宋" w:eastAsia="仿宋" w:cs="仿宋"/>
                <w:color w:val="auto"/>
                <w:spacing w:val="-1"/>
                <w:sz w:val="24"/>
                <w:szCs w:val="24"/>
                <w:highlight w:val="none"/>
              </w:rPr>
              <w:t>每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 w:val="24"/>
                <w:szCs w:val="24"/>
                <w:highlight w:val="none"/>
              </w:rPr>
              <w:t>项</w:t>
            </w:r>
            <w:r>
              <w:rPr>
                <w:rFonts w:hint="eastAsia" w:ascii="仿宋" w:hAnsi="仿宋" w:eastAsia="仿宋" w:cs="仿宋"/>
                <w:color w:val="auto"/>
                <w:spacing w:val="2"/>
                <w:sz w:val="24"/>
                <w:szCs w:val="24"/>
                <w:highlight w:val="none"/>
              </w:rPr>
              <w:t>内容</w:t>
            </w:r>
            <w:r>
              <w:rPr>
                <w:rFonts w:hint="eastAsia" w:ascii="仿宋" w:hAnsi="仿宋" w:eastAsia="仿宋" w:cs="仿宋"/>
                <w:color w:val="auto"/>
                <w:spacing w:val="2"/>
                <w:sz w:val="24"/>
                <w:szCs w:val="24"/>
                <w:highlight w:val="none"/>
                <w:lang w:val="en-US" w:eastAsia="zh-CN"/>
              </w:rPr>
              <w:t>完整、详实，科学、操作性强，</w:t>
            </w:r>
            <w:r>
              <w:rPr>
                <w:rFonts w:hint="eastAsia" w:ascii="仿宋" w:hAnsi="仿宋" w:eastAsia="仿宋" w:cs="仿宋"/>
                <w:color w:val="auto"/>
                <w:spacing w:val="2"/>
                <w:sz w:val="24"/>
                <w:szCs w:val="24"/>
                <w:highlight w:val="none"/>
              </w:rPr>
              <w:t>得</w:t>
            </w:r>
            <w:r>
              <w:rPr>
                <w:rFonts w:hint="eastAsia" w:ascii="仿宋" w:hAnsi="仿宋" w:eastAsia="仿宋" w:cs="仿宋"/>
                <w:color w:val="auto"/>
                <w:spacing w:val="2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pacing w:val="2"/>
                <w:sz w:val="24"/>
                <w:szCs w:val="24"/>
                <w:highlight w:val="none"/>
              </w:rPr>
              <w:t>分，每项方案存在缺陷的扣1</w:t>
            </w:r>
            <w:r>
              <w:rPr>
                <w:rFonts w:hint="eastAsia" w:ascii="仿宋" w:hAnsi="仿宋" w:eastAsia="仿宋" w:cs="仿宋"/>
                <w:color w:val="auto"/>
                <w:spacing w:val="2"/>
                <w:sz w:val="24"/>
                <w:szCs w:val="24"/>
                <w:highlight w:val="none"/>
                <w:lang w:val="en-US" w:eastAsia="zh-CN"/>
              </w:rPr>
              <w:t>-3</w:t>
            </w:r>
            <w:r>
              <w:rPr>
                <w:rFonts w:hint="eastAsia" w:ascii="仿宋" w:hAnsi="仿宋" w:eastAsia="仿宋" w:cs="仿宋"/>
                <w:color w:val="auto"/>
                <w:spacing w:val="2"/>
                <w:sz w:val="24"/>
                <w:szCs w:val="24"/>
                <w:highlight w:val="none"/>
              </w:rPr>
              <w:t>分，未提供不得分。存在缺陷是指 (存在不适用于本项目的内容、内容前后不一致、凭空编造、涉及的规范及标准错误、地点区域错误、内容缺失)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1007" w:type="dxa"/>
            <w:vMerge w:val="continue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yellow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验收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方案（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Hans"/>
              </w:rPr>
              <w:t>分）</w:t>
            </w:r>
          </w:p>
        </w:tc>
        <w:tc>
          <w:tcPr>
            <w:tcW w:w="5899" w:type="dxa"/>
            <w:shd w:val="clear" w:color="auto" w:fill="auto"/>
            <w:vAlign w:val="center"/>
          </w:tcPr>
          <w:p>
            <w:pPr>
              <w:spacing w:before="0" w:line="360" w:lineRule="auto"/>
              <w:ind w:left="0" w:right="0"/>
              <w:rPr>
                <w:rFonts w:hint="eastAsia" w:ascii="仿宋" w:hAnsi="仿宋" w:eastAsia="仿宋" w:cs="仿宋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2"/>
                <w:sz w:val="24"/>
                <w:szCs w:val="24"/>
                <w:highlight w:val="none"/>
              </w:rPr>
              <w:t>评标委员会根据供应商提供的验收阶段方案，从以下5方面进行评审：①验收准备工作；②验收标准和依据；③验收流程；④配合验收的人员安排；⑤ 验收方案；其中每有一项上述内容得1分，每项方案存在缺陷的扣0.5</w:t>
            </w:r>
            <w:r>
              <w:rPr>
                <w:rFonts w:hint="eastAsia" w:ascii="仿宋" w:hAnsi="仿宋" w:eastAsia="仿宋" w:cs="仿宋"/>
                <w:color w:val="auto"/>
                <w:spacing w:val="2"/>
                <w:sz w:val="24"/>
                <w:szCs w:val="24"/>
                <w:highlight w:val="none"/>
                <w:lang w:val="en-US" w:eastAsia="zh-CN"/>
              </w:rPr>
              <w:t>-1</w:t>
            </w:r>
            <w:r>
              <w:rPr>
                <w:rFonts w:hint="eastAsia" w:ascii="仿宋" w:hAnsi="仿宋" w:eastAsia="仿宋" w:cs="仿宋"/>
                <w:color w:val="auto"/>
                <w:spacing w:val="2"/>
                <w:sz w:val="24"/>
                <w:szCs w:val="24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color w:val="auto"/>
                <w:spacing w:val="2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pacing w:val="2"/>
                <w:sz w:val="24"/>
                <w:szCs w:val="24"/>
                <w:highlight w:val="none"/>
              </w:rPr>
              <w:t>未提供不得分。存在缺陷是指 (存在不适用于本项目的内容、内容前后不一致、凭空编造、涉及的规范及标准错误、地点区域错误、内容缺失)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007" w:type="dxa"/>
            <w:vMerge w:val="continue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yellow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pacing w:val="2"/>
                <w:position w:val="5"/>
                <w:sz w:val="24"/>
                <w:szCs w:val="24"/>
                <w:highlight w:val="none"/>
              </w:rPr>
              <w:t>培训方案</w:t>
            </w:r>
            <w:r>
              <w:rPr>
                <w:rFonts w:hint="eastAsia" w:ascii="仿宋" w:hAnsi="仿宋" w:eastAsia="仿宋" w:cs="仿宋"/>
                <w:color w:val="auto"/>
                <w:spacing w:val="2"/>
                <w:position w:val="5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pacing w:val="2"/>
                <w:position w:val="5"/>
                <w:sz w:val="24"/>
                <w:szCs w:val="24"/>
                <w:highlight w:val="none"/>
                <w:lang w:val="en-US" w:eastAsia="zh-CN"/>
              </w:rPr>
              <w:t>5分</w:t>
            </w:r>
            <w:r>
              <w:rPr>
                <w:rFonts w:hint="eastAsia" w:ascii="仿宋" w:hAnsi="仿宋" w:eastAsia="仿宋" w:cs="仿宋"/>
                <w:color w:val="auto"/>
                <w:spacing w:val="2"/>
                <w:position w:val="5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5899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2"/>
                <w:sz w:val="24"/>
                <w:szCs w:val="24"/>
                <w:highlight w:val="none"/>
              </w:rPr>
              <w:t>评标委员会根据供应商提</w:t>
            </w:r>
            <w:r>
              <w:rPr>
                <w:rFonts w:hint="eastAsia" w:ascii="仿宋" w:hAnsi="仿宋" w:eastAsia="仿宋" w:cs="仿宋"/>
                <w:color w:val="auto"/>
                <w:spacing w:val="1"/>
                <w:sz w:val="24"/>
                <w:szCs w:val="24"/>
                <w:highlight w:val="none"/>
              </w:rPr>
              <w:t>供的培训阶段方案，从以下5方面进行评审：① 培</w:t>
            </w:r>
            <w:r>
              <w:rPr>
                <w:rFonts w:hint="eastAsia" w:ascii="仿宋" w:hAnsi="仿宋" w:eastAsia="仿宋" w:cs="仿宋"/>
                <w:color w:val="auto"/>
                <w:spacing w:val="-1"/>
                <w:sz w:val="24"/>
                <w:szCs w:val="24"/>
                <w:highlight w:val="none"/>
              </w:rPr>
              <w:t>训计划；②配备的专职培训人员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或讲师；③培训内容重点难点；④培训结果</w:t>
            </w:r>
            <w:r>
              <w:rPr>
                <w:rFonts w:hint="eastAsia" w:ascii="仿宋" w:hAnsi="仿宋" w:eastAsia="仿宋" w:cs="仿宋"/>
                <w:color w:val="auto"/>
                <w:spacing w:val="2"/>
                <w:sz w:val="24"/>
                <w:szCs w:val="24"/>
                <w:highlight w:val="none"/>
              </w:rPr>
              <w:t>保障措施；⑤培训</w:t>
            </w:r>
            <w:r>
              <w:rPr>
                <w:rFonts w:hint="eastAsia" w:ascii="仿宋" w:hAnsi="仿宋" w:eastAsia="仿宋" w:cs="仿宋"/>
                <w:color w:val="auto"/>
                <w:spacing w:val="1"/>
                <w:sz w:val="24"/>
                <w:szCs w:val="24"/>
                <w:highlight w:val="none"/>
              </w:rPr>
              <w:t>效果跟踪；其中每有一项上述内容得1分，每项方案存在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 w:val="24"/>
                <w:szCs w:val="24"/>
                <w:highlight w:val="none"/>
              </w:rPr>
              <w:t>缺陷的扣0.5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 w:val="24"/>
                <w:szCs w:val="24"/>
                <w:highlight w:val="none"/>
                <w:lang w:val="en-US" w:eastAsia="zh-CN"/>
              </w:rPr>
              <w:t>-1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 w:val="24"/>
                <w:szCs w:val="24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color w:val="auto"/>
                <w:spacing w:val="2"/>
                <w:sz w:val="24"/>
                <w:szCs w:val="24"/>
                <w:highlight w:val="none"/>
              </w:rPr>
              <w:t>，未提供不得分。存在缺陷是指 (存在不适用于本项目的内容、内容前后不一致、凭空编造、涉及的规范及标准错</w:t>
            </w:r>
            <w:r>
              <w:rPr>
                <w:rFonts w:hint="eastAsia" w:ascii="仿宋" w:hAnsi="仿宋" w:eastAsia="仿宋" w:cs="仿宋"/>
                <w:color w:val="auto"/>
                <w:spacing w:val="1"/>
                <w:sz w:val="24"/>
                <w:szCs w:val="24"/>
                <w:highlight w:val="none"/>
              </w:rPr>
              <w:t>误、地点区域错误</w:t>
            </w:r>
            <w:r>
              <w:rPr>
                <w:rFonts w:hint="eastAsia" w:ascii="仿宋" w:hAnsi="仿宋" w:eastAsia="仿宋" w:cs="仿宋"/>
                <w:color w:val="auto"/>
                <w:spacing w:val="-2"/>
                <w:sz w:val="24"/>
                <w:szCs w:val="24"/>
                <w:highlight w:val="none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pacing w:val="-1"/>
                <w:sz w:val="24"/>
                <w:szCs w:val="24"/>
                <w:highlight w:val="none"/>
              </w:rPr>
              <w:t>内容缺失) 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007" w:type="dxa"/>
            <w:vMerge w:val="continue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yellow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pacing w:val="2"/>
                <w:position w:val="5"/>
                <w:sz w:val="24"/>
                <w:szCs w:val="24"/>
                <w:highlight w:val="none"/>
                <w:lang w:eastAsia="zh-CN"/>
              </w:rPr>
              <w:t>合理化建议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Hans"/>
              </w:rPr>
              <w:t>分）</w:t>
            </w:r>
          </w:p>
        </w:tc>
        <w:tc>
          <w:tcPr>
            <w:tcW w:w="5899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yellow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 w:eastAsia="zh-CN" w:bidi="zh-CN"/>
              </w:rPr>
              <w:t>投标人需针对本次项目实际使用条件、日常保养、维护等方面提出合理化建议，建议内容完整、条理清晰、针对性强、可操作性强，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zh-CN"/>
              </w:rPr>
              <w:t>得8分；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 w:eastAsia="zh-CN" w:bidi="zh-CN"/>
              </w:rPr>
              <w:t>内容不完整、条理不清晰、针对性不强、可操作性不强扣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zh-CN"/>
              </w:rPr>
              <w:t>1-8分，没有不得分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7" w:type="dxa"/>
            <w:vMerge w:val="continue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售后服务方案（12分）</w:t>
            </w:r>
          </w:p>
        </w:tc>
        <w:tc>
          <w:tcPr>
            <w:tcW w:w="5899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pacing w:val="2"/>
                <w:sz w:val="24"/>
                <w:szCs w:val="24"/>
                <w:highlight w:val="none"/>
              </w:rPr>
              <w:t>评标委员会根据供应</w:t>
            </w:r>
            <w:r>
              <w:rPr>
                <w:rFonts w:hint="eastAsia" w:ascii="仿宋" w:hAnsi="仿宋" w:eastAsia="仿宋" w:cs="仿宋"/>
                <w:color w:val="auto"/>
                <w:spacing w:val="1"/>
                <w:sz w:val="24"/>
                <w:szCs w:val="24"/>
                <w:highlight w:val="none"/>
              </w:rPr>
              <w:t>商提供的售后服务方案，从以下5方面进行评审：①售</w:t>
            </w:r>
            <w:r>
              <w:rPr>
                <w:rFonts w:hint="eastAsia" w:ascii="仿宋" w:hAnsi="仿宋" w:eastAsia="仿宋" w:cs="仿宋"/>
                <w:color w:val="auto"/>
                <w:spacing w:val="-2"/>
                <w:sz w:val="24"/>
                <w:szCs w:val="24"/>
                <w:highlight w:val="none"/>
              </w:rPr>
              <w:t>后</w:t>
            </w:r>
            <w:r>
              <w:rPr>
                <w:rFonts w:hint="eastAsia" w:ascii="仿宋" w:hAnsi="仿宋" w:eastAsia="仿宋" w:cs="仿宋"/>
                <w:color w:val="auto"/>
                <w:spacing w:val="-1"/>
                <w:sz w:val="24"/>
                <w:szCs w:val="24"/>
                <w:highlight w:val="none"/>
              </w:rPr>
              <w:t>服务方案；②售后服务流程；③售后服务标准；④售后服务人员安排；⑤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2"/>
                <w:sz w:val="24"/>
                <w:szCs w:val="24"/>
                <w:highlight w:val="none"/>
              </w:rPr>
              <w:t>售后应急处理方案；⑥</w:t>
            </w:r>
            <w:r>
              <w:rPr>
                <w:rFonts w:hint="eastAsia" w:ascii="仿宋" w:hAnsi="仿宋" w:eastAsia="仿宋" w:cs="仿宋"/>
                <w:color w:val="auto"/>
                <w:spacing w:val="2"/>
                <w:sz w:val="24"/>
                <w:szCs w:val="24"/>
                <w:highlight w:val="none"/>
                <w:lang w:val="en-US" w:eastAsia="zh-CN"/>
              </w:rPr>
              <w:t>退换货方案。</w:t>
            </w:r>
            <w:r>
              <w:rPr>
                <w:rFonts w:hint="eastAsia" w:ascii="仿宋" w:hAnsi="仿宋" w:eastAsia="仿宋" w:cs="仿宋"/>
                <w:color w:val="auto"/>
                <w:spacing w:val="2"/>
                <w:sz w:val="24"/>
                <w:szCs w:val="24"/>
                <w:highlight w:val="none"/>
              </w:rPr>
              <w:t>其中每有一项上述内容得</w:t>
            </w:r>
            <w:r>
              <w:rPr>
                <w:rFonts w:hint="eastAsia" w:ascii="仿宋" w:hAnsi="仿宋" w:eastAsia="仿宋" w:cs="仿宋"/>
                <w:color w:val="auto"/>
                <w:spacing w:val="2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pacing w:val="2"/>
                <w:sz w:val="24"/>
                <w:szCs w:val="24"/>
                <w:highlight w:val="none"/>
              </w:rPr>
              <w:t>分，每项方案存在缺陷的</w:t>
            </w:r>
            <w:r>
              <w:rPr>
                <w:rFonts w:hint="eastAsia" w:ascii="仿宋" w:hAnsi="仿宋" w:eastAsia="仿宋" w:cs="仿宋"/>
                <w:color w:val="auto"/>
                <w:spacing w:val="1"/>
                <w:sz w:val="24"/>
                <w:szCs w:val="24"/>
                <w:highlight w:val="none"/>
              </w:rPr>
              <w:t>扣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 w:val="24"/>
                <w:szCs w:val="24"/>
                <w:highlight w:val="none"/>
                <w:lang w:val="en-US" w:eastAsia="zh-CN"/>
              </w:rPr>
              <w:t>1-2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 w:val="24"/>
                <w:szCs w:val="24"/>
                <w:highlight w:val="none"/>
              </w:rPr>
              <w:t>分，未提供</w:t>
            </w:r>
            <w:r>
              <w:rPr>
                <w:rFonts w:hint="eastAsia" w:ascii="仿宋" w:hAnsi="仿宋" w:eastAsia="仿宋" w:cs="仿宋"/>
                <w:color w:val="auto"/>
                <w:spacing w:val="2"/>
                <w:sz w:val="24"/>
                <w:szCs w:val="24"/>
                <w:highlight w:val="none"/>
              </w:rPr>
              <w:t>不得分。存在缺陷是指 (存在不适用于本项目的内容、内容前后不一致、凭空编造、涉及的规范及标准错误、地点</w:t>
            </w:r>
            <w:r>
              <w:rPr>
                <w:rFonts w:hint="eastAsia" w:ascii="仿宋" w:hAnsi="仿宋" w:eastAsia="仿宋" w:cs="仿宋"/>
                <w:color w:val="auto"/>
                <w:spacing w:val="1"/>
                <w:sz w:val="24"/>
                <w:szCs w:val="24"/>
                <w:highlight w:val="none"/>
              </w:rPr>
              <w:t>区域错误、内容缺</w:t>
            </w:r>
            <w:r>
              <w:rPr>
                <w:rFonts w:hint="eastAsia" w:ascii="仿宋" w:hAnsi="仿宋" w:eastAsia="仿宋" w:cs="仿宋"/>
                <w:color w:val="auto"/>
                <w:spacing w:val="-2"/>
                <w:sz w:val="24"/>
                <w:szCs w:val="24"/>
                <w:highlight w:val="none"/>
              </w:rPr>
              <w:t>失) 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商务部分（25分）</w:t>
            </w:r>
          </w:p>
        </w:tc>
        <w:tc>
          <w:tcPr>
            <w:tcW w:w="152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企业服务能力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5899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必须具有与配送相适应的仓储、车辆等设施；</w:t>
            </w:r>
          </w:p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"/>
                <w:sz w:val="24"/>
                <w:szCs w:val="24"/>
                <w:highlight w:val="none"/>
              </w:rPr>
              <w:t>①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仓库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≧500㎡，得4分，仓库≧300㎡，得2分，仓库&lt;300㎡，得1分；</w:t>
            </w:r>
          </w:p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"/>
                <w:sz w:val="24"/>
                <w:szCs w:val="24"/>
                <w:highlight w:val="none"/>
              </w:rPr>
              <w:t>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办公地点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≧100㎡，得2分，办公地点≧80㎡，得1分；办公地点&lt;80㎡，不得分；</w:t>
            </w:r>
          </w:p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"/>
                <w:sz w:val="24"/>
                <w:szCs w:val="24"/>
                <w:highlight w:val="none"/>
              </w:rPr>
              <w:t>③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配送车辆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（不包括冷链车）≧5辆，得4分；配送车辆≧4辆，得2分；配送车辆≦3辆，得1分；</w:t>
            </w:r>
          </w:p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"/>
                <w:sz w:val="24"/>
                <w:szCs w:val="24"/>
                <w:highlight w:val="none"/>
              </w:rPr>
              <w:t>④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冷库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≧50㎡，得5分，冷库≧30㎡，得2分，冷库&lt;30㎡，得1分；</w:t>
            </w:r>
          </w:p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pacing w:val="-1"/>
                <w:sz w:val="24"/>
                <w:szCs w:val="24"/>
                <w:highlight w:val="none"/>
              </w:rPr>
              <w:t>⑤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冷链运输车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≧2辆，得5分，冷链运输车≧1辆，得2分。需提供场地及车辆使用证明材料复印件。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业绩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（3分）</w:t>
            </w:r>
          </w:p>
        </w:tc>
        <w:tc>
          <w:tcPr>
            <w:tcW w:w="589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截止到开标之日三年内，投标人每投供一项类似业绩得1分，最多得3分，不提供不得分。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须提供合同关键页，包括合同首页、内容描述页、签字盖章页，未提供或未按要求提供不得分。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7" w:type="dxa"/>
            <w:vMerge w:val="continue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5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响应文件编制质量（2分）</w:t>
            </w:r>
          </w:p>
        </w:tc>
        <w:tc>
          <w:tcPr>
            <w:tcW w:w="5899" w:type="dxa"/>
            <w:vAlign w:val="center"/>
          </w:tcPr>
          <w:p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投标文件编制内容完整、美观、逻辑严谨，目录清晰，投标文件编制内容中无明显的漏项和不完整的情况（酌情打分）。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3"/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3"/>
        <w:spacing w:line="360" w:lineRule="auto"/>
        <w:rPr>
          <w:rFonts w:hint="eastAsia"/>
          <w:lang w:val="en-US" w:eastAsia="zh-CN"/>
        </w:rPr>
      </w:pPr>
    </w:p>
    <w:p>
      <w:pPr>
        <w:pStyle w:val="3"/>
        <w:spacing w:line="360" w:lineRule="auto"/>
        <w:rPr>
          <w:rFonts w:hint="eastAsia"/>
          <w:lang w:val="en-US" w:eastAsia="zh-CN"/>
        </w:rPr>
      </w:pPr>
    </w:p>
    <w:p>
      <w:pPr>
        <w:pStyle w:val="3"/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需求：配送供应我院及下属乡镇卫生院全部检验用试剂，包括耗材。我院开展的检验项目详表如下：</w:t>
      </w:r>
    </w:p>
    <w:tbl>
      <w:tblPr>
        <w:tblStyle w:val="8"/>
        <w:tblW w:w="837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21"/>
        <w:gridCol w:w="44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检验开展项目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检验方法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肝功组合测定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肾功能测定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血脂测定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血糖测定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离子综合测定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电极法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心肌酶谱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免疫球蛋白三项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风湿四项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肝功组合测定（大）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肾功能测定（住院）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血同型半胱氨酸测定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甲功三项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全自动化学发光法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游离甲功五项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全自动化学发光法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性激素六项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全自动化学发光法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血清胰岛素测定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全自动化学发光法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血清c肽测定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全自动化学发光法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乙肝五项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全自动化学发光法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术前六项（快速）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全自动化学发光法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胃镜前四项快速检测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全自动化学发光法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肠镜前四项快速检测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全自动化学发光法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肿瘤四项（化验室）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全自动化学发光法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人免疫缺陷病毒抗体测定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全自动化学发光法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梅毒螺旋体抗体测定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全自动化学发光法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血清人绒毛膜促性腺激素测定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全自动化学发光法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降钙素原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免疫荧光法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血细胞分析-五分类+全血细胞计数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电阻抗法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C反应蛋白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免疫比浊法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尿液分析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干化学法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尿液分析+尿红细胞位相+尿沉渣定量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流式细胞法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血凝五项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仪器凝固法、发色底物法、免疫法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粪便全自动分析检测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仪器法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粪便常规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手工显微镜法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粪便隐血试验（OB）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手工免疫层析法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呼吸道病原体检测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手工显微镜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阴道分泌物病原体检测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手工显微镜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尿道口分泌物病原体检测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手工显微镜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血型组合测定（检验科）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微柱法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RH血型鉴定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微柱法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ABO血型鉴定（微柱法）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微柱法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一般细菌培养及鉴定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手工培养法+仪器法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血培养及鉴定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仪器法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淋球菌培养及鉴定</w:t>
            </w:r>
          </w:p>
        </w:tc>
        <w:tc>
          <w:tcPr>
            <w:tcW w:w="4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手工培养法+仪器法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w w:val="110"/>
          <w:sz w:val="32"/>
          <w:szCs w:val="32"/>
          <w:highlight w:val="none"/>
          <w:lang w:val="en-US" w:eastAsia="zh-CN"/>
        </w:rPr>
      </w:pPr>
      <w:r>
        <w:rPr>
          <w:rFonts w:hint="eastAsia"/>
          <w:w w:val="110"/>
          <w:sz w:val="32"/>
          <w:szCs w:val="32"/>
          <w:highlight w:val="none"/>
          <w:lang w:val="en-US" w:eastAsia="zh-CN"/>
        </w:rPr>
        <w:t>评分说明：</w:t>
      </w:r>
    </w:p>
    <w:p>
      <w:pPr>
        <w:pStyle w:val="3"/>
        <w:spacing w:line="360" w:lineRule="auto"/>
        <w:rPr>
          <w:rFonts w:hint="default"/>
          <w:w w:val="110"/>
          <w:sz w:val="32"/>
          <w:szCs w:val="32"/>
          <w:highlight w:val="none"/>
          <w:lang w:val="en-US" w:eastAsia="zh-CN"/>
        </w:rPr>
      </w:pPr>
      <w:r>
        <w:rPr>
          <w:rFonts w:hint="eastAsia"/>
          <w:w w:val="110"/>
          <w:sz w:val="32"/>
          <w:szCs w:val="32"/>
          <w:highlight w:val="none"/>
          <w:lang w:val="en-US" w:eastAsia="zh-CN"/>
        </w:rPr>
        <w:t>磋商小组对通过资格性及符合性审查的投标供应商，根据报价【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我院试剂招控费目标为全部试剂、质控品、检验科耗材（尿杯、尿管、拭子、样品杯），采购金额占检验科年检测收入总额（耗占比）的45%以下。投标供应商报价以此百分比报价，报价百分比不高于45%</w:t>
      </w:r>
      <w:r>
        <w:rPr>
          <w:rFonts w:hint="eastAsia"/>
          <w:w w:val="110"/>
          <w:sz w:val="32"/>
          <w:szCs w:val="32"/>
          <w:highlight w:val="none"/>
          <w:lang w:val="en-US" w:eastAsia="zh-CN"/>
        </w:rPr>
        <w:t>】、技术部分（包括供货方案、验收方案、培训方案、合理化建议、售后方案）、商务部分（包括企业服务能力、相似业绩、标书质量）进行打分。按得分顺序推荐中选供应商。</w:t>
      </w:r>
    </w:p>
    <w:p>
      <w:pPr>
        <w:pStyle w:val="3"/>
        <w:spacing w:line="360" w:lineRule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A05C3"/>
    <w:multiLevelType w:val="multilevel"/>
    <w:tmpl w:val="578A05C3"/>
    <w:lvl w:ilvl="0" w:tentative="0">
      <w:start w:val="1"/>
      <w:numFmt w:val="chineseCounting"/>
      <w:suff w:val="nothing"/>
      <w:lvlText w:val="第%1章 "/>
      <w:lvlJc w:val="left"/>
      <w:pPr>
        <w:tabs>
          <w:tab w:val="left" w:pos="420"/>
        </w:tabs>
        <w:ind w:left="425" w:hanging="425"/>
      </w:pPr>
      <w:rPr>
        <w:rFonts w:hint="eastAsia" w:ascii="宋体" w:hAnsi="宋体" w:eastAsia="宋体" w:cs="宋体"/>
      </w:rPr>
    </w:lvl>
    <w:lvl w:ilvl="1" w:tentative="0">
      <w:start w:val="1"/>
      <w:numFmt w:val="decimal"/>
      <w:isLgl/>
      <w:lvlText w:val="%1.%2"/>
      <w:lvlJc w:val="left"/>
      <w:pPr>
        <w:tabs>
          <w:tab w:val="left" w:pos="420"/>
        </w:tabs>
        <w:ind w:left="567" w:hanging="567"/>
      </w:pPr>
      <w:rPr>
        <w:rFonts w:hint="eastAsia" w:ascii="宋体" w:hAnsi="宋体" w:eastAsia="宋体" w:cs="宋体"/>
      </w:rPr>
    </w:lvl>
    <w:lvl w:ilvl="2" w:tentative="0">
      <w:start w:val="1"/>
      <w:numFmt w:val="decimal"/>
      <w:pStyle w:val="7"/>
      <w:isLgl/>
      <w:lvlText w:val="%1.%2.%3"/>
      <w:lvlJc w:val="left"/>
      <w:pPr>
        <w:ind w:left="709" w:hanging="709"/>
      </w:pPr>
      <w:rPr>
        <w:rFonts w:hint="eastAsia" w:ascii="宋体" w:hAnsi="宋体" w:eastAsia="宋体" w:cs="宋体"/>
      </w:rPr>
    </w:lvl>
    <w:lvl w:ilvl="3" w:tentative="0">
      <w:start w:val="1"/>
      <w:numFmt w:val="decimal"/>
      <w:isLgl/>
      <w:lvlText w:val="%1.%2.%3.%4"/>
      <w:lvlJc w:val="left"/>
      <w:pPr>
        <w:ind w:left="850" w:hanging="850"/>
      </w:pPr>
      <w:rPr>
        <w:rFonts w:hint="eastAsia" w:ascii="宋体" w:hAnsi="宋体" w:eastAsia="宋体" w:cs="宋体"/>
      </w:rPr>
    </w:lvl>
    <w:lvl w:ilvl="4" w:tentative="0">
      <w:start w:val="1"/>
      <w:numFmt w:val="decimal"/>
      <w:isLgl/>
      <w:lvlText w:val="%1.%2.%3.%4.%5"/>
      <w:lvlJc w:val="left"/>
      <w:pPr>
        <w:ind w:left="991" w:hanging="991"/>
      </w:pPr>
      <w:rPr>
        <w:rFonts w:hint="eastAsia" w:ascii="宋体" w:hAnsi="宋体" w:eastAsia="宋体" w:cs="宋体"/>
      </w:rPr>
    </w:lvl>
    <w:lvl w:ilvl="5" w:tentative="0">
      <w:start w:val="1"/>
      <w:numFmt w:val="decimal"/>
      <w:isLgl/>
      <w:lvlText w:val="%1.%2.%3.%4.%5.%6"/>
      <w:lvlJc w:val="left"/>
      <w:pPr>
        <w:ind w:left="1134" w:hanging="1134"/>
      </w:pPr>
      <w:rPr>
        <w:rFonts w:hint="eastAsia" w:ascii="宋体" w:hAnsi="宋体" w:eastAsia="宋体" w:cs="宋体"/>
      </w:rPr>
    </w:lvl>
    <w:lvl w:ilvl="6" w:tentative="0">
      <w:start w:val="1"/>
      <w:numFmt w:val="decimal"/>
      <w:isLgl/>
      <w:lvlText w:val="%1.%2.%3.%4.%5.%6.%7"/>
      <w:lvlJc w:val="left"/>
      <w:pPr>
        <w:ind w:left="1275" w:hanging="1275"/>
      </w:pPr>
      <w:rPr>
        <w:rFonts w:hint="eastAsia" w:ascii="宋体" w:hAnsi="宋体" w:eastAsia="宋体" w:cs="宋体"/>
      </w:rPr>
    </w:lvl>
    <w:lvl w:ilvl="7" w:tentative="0">
      <w:start w:val="1"/>
      <w:numFmt w:val="decimal"/>
      <w:isLgl/>
      <w:lvlText w:val="%1.%2.%3.%4.%5.%6.%7.%8.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58" w:hanging="1558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xN2ExNDQxNDUxNjE2ZTBlZGM3NzRhNTc1YTFmZDQifQ=="/>
  </w:docVars>
  <w:rsids>
    <w:rsidRoot w:val="00172A27"/>
    <w:rsid w:val="00172A27"/>
    <w:rsid w:val="002836B2"/>
    <w:rsid w:val="00730CC4"/>
    <w:rsid w:val="00736877"/>
    <w:rsid w:val="007E0E99"/>
    <w:rsid w:val="00804795"/>
    <w:rsid w:val="008D089E"/>
    <w:rsid w:val="009D0EA3"/>
    <w:rsid w:val="00A534D5"/>
    <w:rsid w:val="00B700C7"/>
    <w:rsid w:val="00CC1DB4"/>
    <w:rsid w:val="00FA61BE"/>
    <w:rsid w:val="01086C64"/>
    <w:rsid w:val="018C7E43"/>
    <w:rsid w:val="01B8052C"/>
    <w:rsid w:val="01DE3C22"/>
    <w:rsid w:val="02015F32"/>
    <w:rsid w:val="02127C5D"/>
    <w:rsid w:val="0225358A"/>
    <w:rsid w:val="02447A4E"/>
    <w:rsid w:val="027427F8"/>
    <w:rsid w:val="0291170E"/>
    <w:rsid w:val="029A60C7"/>
    <w:rsid w:val="02D0730E"/>
    <w:rsid w:val="02D2560B"/>
    <w:rsid w:val="032D47BD"/>
    <w:rsid w:val="034F39B2"/>
    <w:rsid w:val="03BF4C70"/>
    <w:rsid w:val="03E1351C"/>
    <w:rsid w:val="03E564D7"/>
    <w:rsid w:val="03FF4043"/>
    <w:rsid w:val="04151FC5"/>
    <w:rsid w:val="04303DDE"/>
    <w:rsid w:val="04370865"/>
    <w:rsid w:val="04382203"/>
    <w:rsid w:val="047C586B"/>
    <w:rsid w:val="048F07E1"/>
    <w:rsid w:val="04BD75EA"/>
    <w:rsid w:val="04FC7FCE"/>
    <w:rsid w:val="0509706F"/>
    <w:rsid w:val="051B4D40"/>
    <w:rsid w:val="051C6AF1"/>
    <w:rsid w:val="056E774C"/>
    <w:rsid w:val="05A62328"/>
    <w:rsid w:val="05BC4611"/>
    <w:rsid w:val="05BF3E2E"/>
    <w:rsid w:val="05E964E3"/>
    <w:rsid w:val="05EC09CF"/>
    <w:rsid w:val="060A6615"/>
    <w:rsid w:val="061C76EF"/>
    <w:rsid w:val="064047AA"/>
    <w:rsid w:val="06747CF0"/>
    <w:rsid w:val="06B965FE"/>
    <w:rsid w:val="070955AE"/>
    <w:rsid w:val="072102CF"/>
    <w:rsid w:val="07240E0C"/>
    <w:rsid w:val="073836D3"/>
    <w:rsid w:val="074F1C14"/>
    <w:rsid w:val="076157C5"/>
    <w:rsid w:val="0772561D"/>
    <w:rsid w:val="078079B3"/>
    <w:rsid w:val="078E763A"/>
    <w:rsid w:val="0795301E"/>
    <w:rsid w:val="079634A5"/>
    <w:rsid w:val="079B6135"/>
    <w:rsid w:val="07A94646"/>
    <w:rsid w:val="07CB64FD"/>
    <w:rsid w:val="07DE471D"/>
    <w:rsid w:val="07F13F1D"/>
    <w:rsid w:val="08311AD8"/>
    <w:rsid w:val="08622F59"/>
    <w:rsid w:val="08935DB2"/>
    <w:rsid w:val="08A022C4"/>
    <w:rsid w:val="08DF5C89"/>
    <w:rsid w:val="08E93DF0"/>
    <w:rsid w:val="08EE41D0"/>
    <w:rsid w:val="08F1120C"/>
    <w:rsid w:val="08F54BC3"/>
    <w:rsid w:val="08FE52D8"/>
    <w:rsid w:val="091059FF"/>
    <w:rsid w:val="094309B5"/>
    <w:rsid w:val="097E5021"/>
    <w:rsid w:val="09A37BA9"/>
    <w:rsid w:val="09BC5C8A"/>
    <w:rsid w:val="09BF208D"/>
    <w:rsid w:val="09D61407"/>
    <w:rsid w:val="09FF7E31"/>
    <w:rsid w:val="0A372CDD"/>
    <w:rsid w:val="0A3A572F"/>
    <w:rsid w:val="0A3D52C1"/>
    <w:rsid w:val="0A8C26DA"/>
    <w:rsid w:val="0A9E14B3"/>
    <w:rsid w:val="0AAF50D6"/>
    <w:rsid w:val="0AC33442"/>
    <w:rsid w:val="0ACE4378"/>
    <w:rsid w:val="0ADF3032"/>
    <w:rsid w:val="0AEA70EA"/>
    <w:rsid w:val="0AEF1E52"/>
    <w:rsid w:val="0B2E72C7"/>
    <w:rsid w:val="0B401239"/>
    <w:rsid w:val="0B936E70"/>
    <w:rsid w:val="0C3A3EE4"/>
    <w:rsid w:val="0C484290"/>
    <w:rsid w:val="0C702827"/>
    <w:rsid w:val="0CB70A98"/>
    <w:rsid w:val="0CBF7AF1"/>
    <w:rsid w:val="0D1E77F8"/>
    <w:rsid w:val="0D224637"/>
    <w:rsid w:val="0D636733"/>
    <w:rsid w:val="0D722AE9"/>
    <w:rsid w:val="0D773D83"/>
    <w:rsid w:val="0DD83F58"/>
    <w:rsid w:val="0E223278"/>
    <w:rsid w:val="0E26438C"/>
    <w:rsid w:val="0E407C88"/>
    <w:rsid w:val="0E4C0A85"/>
    <w:rsid w:val="0E641C96"/>
    <w:rsid w:val="0E9F6311"/>
    <w:rsid w:val="0EA32EF1"/>
    <w:rsid w:val="0EBE2211"/>
    <w:rsid w:val="0EBF7C86"/>
    <w:rsid w:val="0EEF16C2"/>
    <w:rsid w:val="0F1266B7"/>
    <w:rsid w:val="0F1B49E6"/>
    <w:rsid w:val="0F2138C1"/>
    <w:rsid w:val="0F3D51EE"/>
    <w:rsid w:val="0F6C1979"/>
    <w:rsid w:val="0F9E46BF"/>
    <w:rsid w:val="0FD20DA3"/>
    <w:rsid w:val="0FF26E53"/>
    <w:rsid w:val="100F7808"/>
    <w:rsid w:val="10146734"/>
    <w:rsid w:val="10306B1E"/>
    <w:rsid w:val="103B0EB6"/>
    <w:rsid w:val="104D6442"/>
    <w:rsid w:val="10FE1637"/>
    <w:rsid w:val="113A6633"/>
    <w:rsid w:val="11477650"/>
    <w:rsid w:val="114E78F4"/>
    <w:rsid w:val="11794537"/>
    <w:rsid w:val="118442BD"/>
    <w:rsid w:val="118913C7"/>
    <w:rsid w:val="11A04250"/>
    <w:rsid w:val="121969F0"/>
    <w:rsid w:val="122072AA"/>
    <w:rsid w:val="122C5DAB"/>
    <w:rsid w:val="12594401"/>
    <w:rsid w:val="128B7E9B"/>
    <w:rsid w:val="128E0002"/>
    <w:rsid w:val="129C19EE"/>
    <w:rsid w:val="12B42D3B"/>
    <w:rsid w:val="12BD1156"/>
    <w:rsid w:val="132404EF"/>
    <w:rsid w:val="136F618E"/>
    <w:rsid w:val="13A26AA4"/>
    <w:rsid w:val="13B0108A"/>
    <w:rsid w:val="13B31D9C"/>
    <w:rsid w:val="13DD6394"/>
    <w:rsid w:val="13E334C7"/>
    <w:rsid w:val="140368BF"/>
    <w:rsid w:val="140D5E88"/>
    <w:rsid w:val="1415245F"/>
    <w:rsid w:val="14200907"/>
    <w:rsid w:val="14290893"/>
    <w:rsid w:val="1436143C"/>
    <w:rsid w:val="1444061D"/>
    <w:rsid w:val="14511761"/>
    <w:rsid w:val="146D463D"/>
    <w:rsid w:val="146F6209"/>
    <w:rsid w:val="14816AD6"/>
    <w:rsid w:val="14A35B7F"/>
    <w:rsid w:val="1512096C"/>
    <w:rsid w:val="15284E55"/>
    <w:rsid w:val="15626D99"/>
    <w:rsid w:val="156970F2"/>
    <w:rsid w:val="15CD4499"/>
    <w:rsid w:val="15D87BA0"/>
    <w:rsid w:val="16273400"/>
    <w:rsid w:val="163F6C4C"/>
    <w:rsid w:val="165F510D"/>
    <w:rsid w:val="16DD0041"/>
    <w:rsid w:val="175D42E5"/>
    <w:rsid w:val="17B057F9"/>
    <w:rsid w:val="17CB2F09"/>
    <w:rsid w:val="17FF564B"/>
    <w:rsid w:val="183E792A"/>
    <w:rsid w:val="18601BB4"/>
    <w:rsid w:val="186A295D"/>
    <w:rsid w:val="18936038"/>
    <w:rsid w:val="1908113F"/>
    <w:rsid w:val="190D5CD4"/>
    <w:rsid w:val="194D414E"/>
    <w:rsid w:val="197068A9"/>
    <w:rsid w:val="19786E6E"/>
    <w:rsid w:val="1999344C"/>
    <w:rsid w:val="19D5657C"/>
    <w:rsid w:val="19E36764"/>
    <w:rsid w:val="19F900A6"/>
    <w:rsid w:val="1A190AAB"/>
    <w:rsid w:val="1A250B0E"/>
    <w:rsid w:val="1A262EC8"/>
    <w:rsid w:val="1A5421A6"/>
    <w:rsid w:val="1AC437A4"/>
    <w:rsid w:val="1B0F2051"/>
    <w:rsid w:val="1B11500E"/>
    <w:rsid w:val="1B50237D"/>
    <w:rsid w:val="1B6E4B35"/>
    <w:rsid w:val="1B810745"/>
    <w:rsid w:val="1B9E3D4C"/>
    <w:rsid w:val="1BA27D66"/>
    <w:rsid w:val="1BD927E8"/>
    <w:rsid w:val="1C10669C"/>
    <w:rsid w:val="1C147CD3"/>
    <w:rsid w:val="1C396839"/>
    <w:rsid w:val="1C3A7874"/>
    <w:rsid w:val="1CDF53F1"/>
    <w:rsid w:val="1CF263F0"/>
    <w:rsid w:val="1D186095"/>
    <w:rsid w:val="1D38359E"/>
    <w:rsid w:val="1D3F46EA"/>
    <w:rsid w:val="1D8424C8"/>
    <w:rsid w:val="1DB356EE"/>
    <w:rsid w:val="1DCC102D"/>
    <w:rsid w:val="1DD15487"/>
    <w:rsid w:val="1E3C7B58"/>
    <w:rsid w:val="1E4127CA"/>
    <w:rsid w:val="1E853D0C"/>
    <w:rsid w:val="1ED00ACB"/>
    <w:rsid w:val="1EF214C3"/>
    <w:rsid w:val="1F054756"/>
    <w:rsid w:val="1F460C2C"/>
    <w:rsid w:val="1F4E5FB5"/>
    <w:rsid w:val="1F6D359F"/>
    <w:rsid w:val="1FC779F0"/>
    <w:rsid w:val="1FEA15B7"/>
    <w:rsid w:val="1FEF18CC"/>
    <w:rsid w:val="1FFF29CC"/>
    <w:rsid w:val="20062518"/>
    <w:rsid w:val="200E125C"/>
    <w:rsid w:val="205E236B"/>
    <w:rsid w:val="2062206E"/>
    <w:rsid w:val="2067009F"/>
    <w:rsid w:val="20D362A1"/>
    <w:rsid w:val="20F97871"/>
    <w:rsid w:val="210133BB"/>
    <w:rsid w:val="210466A8"/>
    <w:rsid w:val="21415B46"/>
    <w:rsid w:val="21534A48"/>
    <w:rsid w:val="215823D3"/>
    <w:rsid w:val="21625698"/>
    <w:rsid w:val="21770FE0"/>
    <w:rsid w:val="21B22C97"/>
    <w:rsid w:val="21ED4DCA"/>
    <w:rsid w:val="22515040"/>
    <w:rsid w:val="226115D7"/>
    <w:rsid w:val="22811388"/>
    <w:rsid w:val="22BB6B16"/>
    <w:rsid w:val="231C55FA"/>
    <w:rsid w:val="232E7C08"/>
    <w:rsid w:val="234E128B"/>
    <w:rsid w:val="236F6B0C"/>
    <w:rsid w:val="238E730D"/>
    <w:rsid w:val="23926F99"/>
    <w:rsid w:val="23A3457B"/>
    <w:rsid w:val="23AE2383"/>
    <w:rsid w:val="23B2625E"/>
    <w:rsid w:val="23BE1434"/>
    <w:rsid w:val="23CF5B34"/>
    <w:rsid w:val="241E530E"/>
    <w:rsid w:val="243143BE"/>
    <w:rsid w:val="24AA6AB3"/>
    <w:rsid w:val="24B01623"/>
    <w:rsid w:val="24D57046"/>
    <w:rsid w:val="25190B6A"/>
    <w:rsid w:val="25690C26"/>
    <w:rsid w:val="25902159"/>
    <w:rsid w:val="25AB476D"/>
    <w:rsid w:val="25FF1DD8"/>
    <w:rsid w:val="260929B3"/>
    <w:rsid w:val="264C0664"/>
    <w:rsid w:val="269B75CF"/>
    <w:rsid w:val="26C279DF"/>
    <w:rsid w:val="26ED0F94"/>
    <w:rsid w:val="27023C76"/>
    <w:rsid w:val="2713509C"/>
    <w:rsid w:val="272661D6"/>
    <w:rsid w:val="274660E3"/>
    <w:rsid w:val="274C0DA9"/>
    <w:rsid w:val="278C7BCF"/>
    <w:rsid w:val="27CA7C44"/>
    <w:rsid w:val="280A79D6"/>
    <w:rsid w:val="282D5110"/>
    <w:rsid w:val="2848700E"/>
    <w:rsid w:val="28504763"/>
    <w:rsid w:val="28711BBF"/>
    <w:rsid w:val="28C93568"/>
    <w:rsid w:val="28D12779"/>
    <w:rsid w:val="29105050"/>
    <w:rsid w:val="2917188B"/>
    <w:rsid w:val="29217B17"/>
    <w:rsid w:val="292509B9"/>
    <w:rsid w:val="292570E6"/>
    <w:rsid w:val="295B1F9C"/>
    <w:rsid w:val="298C187E"/>
    <w:rsid w:val="298D3486"/>
    <w:rsid w:val="2A2E4A12"/>
    <w:rsid w:val="2A2E705E"/>
    <w:rsid w:val="2A4577F9"/>
    <w:rsid w:val="2A5345F2"/>
    <w:rsid w:val="2A637619"/>
    <w:rsid w:val="2A986304"/>
    <w:rsid w:val="2AA618D8"/>
    <w:rsid w:val="2AB01949"/>
    <w:rsid w:val="2AB72956"/>
    <w:rsid w:val="2AB82F57"/>
    <w:rsid w:val="2AE27A0D"/>
    <w:rsid w:val="2B2F0EF6"/>
    <w:rsid w:val="2B3202B6"/>
    <w:rsid w:val="2B367629"/>
    <w:rsid w:val="2B3E4EAD"/>
    <w:rsid w:val="2B402AC8"/>
    <w:rsid w:val="2B5C71E4"/>
    <w:rsid w:val="2B8E1816"/>
    <w:rsid w:val="2BA1664E"/>
    <w:rsid w:val="2BB04315"/>
    <w:rsid w:val="2BD66B03"/>
    <w:rsid w:val="2BF70EA9"/>
    <w:rsid w:val="2C061702"/>
    <w:rsid w:val="2C73502A"/>
    <w:rsid w:val="2CA53881"/>
    <w:rsid w:val="2CBC765E"/>
    <w:rsid w:val="2CD92106"/>
    <w:rsid w:val="2CE40923"/>
    <w:rsid w:val="2CE95EDE"/>
    <w:rsid w:val="2CF3064F"/>
    <w:rsid w:val="2D2614DD"/>
    <w:rsid w:val="2D3159A8"/>
    <w:rsid w:val="2D5F20D8"/>
    <w:rsid w:val="2D6A26D9"/>
    <w:rsid w:val="2D7E2FF5"/>
    <w:rsid w:val="2DA30D70"/>
    <w:rsid w:val="2DE22335"/>
    <w:rsid w:val="2DEB0301"/>
    <w:rsid w:val="2DFA3122"/>
    <w:rsid w:val="2E52321D"/>
    <w:rsid w:val="2E5A27F1"/>
    <w:rsid w:val="2E6E53E1"/>
    <w:rsid w:val="2EC22852"/>
    <w:rsid w:val="2F106B71"/>
    <w:rsid w:val="2F4801E8"/>
    <w:rsid w:val="2F5E2D05"/>
    <w:rsid w:val="2F7F5230"/>
    <w:rsid w:val="2FB52EDE"/>
    <w:rsid w:val="3018414C"/>
    <w:rsid w:val="30303CBE"/>
    <w:rsid w:val="30455772"/>
    <w:rsid w:val="3066214A"/>
    <w:rsid w:val="30B83247"/>
    <w:rsid w:val="314246DE"/>
    <w:rsid w:val="316F0D9E"/>
    <w:rsid w:val="31A16195"/>
    <w:rsid w:val="31CA4B31"/>
    <w:rsid w:val="320F179E"/>
    <w:rsid w:val="32284F14"/>
    <w:rsid w:val="32553A03"/>
    <w:rsid w:val="32A6064F"/>
    <w:rsid w:val="32A61C6A"/>
    <w:rsid w:val="32DA685C"/>
    <w:rsid w:val="32F756F3"/>
    <w:rsid w:val="3318599A"/>
    <w:rsid w:val="331B368F"/>
    <w:rsid w:val="3373762C"/>
    <w:rsid w:val="3386278A"/>
    <w:rsid w:val="33941396"/>
    <w:rsid w:val="33B47E9A"/>
    <w:rsid w:val="34350303"/>
    <w:rsid w:val="34B41B9D"/>
    <w:rsid w:val="34DC77C8"/>
    <w:rsid w:val="35006F48"/>
    <w:rsid w:val="3519191F"/>
    <w:rsid w:val="353E7786"/>
    <w:rsid w:val="3578736A"/>
    <w:rsid w:val="35910789"/>
    <w:rsid w:val="35923D5A"/>
    <w:rsid w:val="35E05D71"/>
    <w:rsid w:val="363050A0"/>
    <w:rsid w:val="36320902"/>
    <w:rsid w:val="36396F65"/>
    <w:rsid w:val="367A6618"/>
    <w:rsid w:val="36861EC3"/>
    <w:rsid w:val="36C77C2D"/>
    <w:rsid w:val="36EE6EFC"/>
    <w:rsid w:val="37380ADA"/>
    <w:rsid w:val="373F206E"/>
    <w:rsid w:val="37687D7E"/>
    <w:rsid w:val="37B7008A"/>
    <w:rsid w:val="37C4140A"/>
    <w:rsid w:val="37E0408E"/>
    <w:rsid w:val="37EA75D0"/>
    <w:rsid w:val="37FA7D86"/>
    <w:rsid w:val="381817CF"/>
    <w:rsid w:val="38325E86"/>
    <w:rsid w:val="386F39D4"/>
    <w:rsid w:val="38936DA2"/>
    <w:rsid w:val="389D1547"/>
    <w:rsid w:val="38DA1556"/>
    <w:rsid w:val="38E27CEA"/>
    <w:rsid w:val="38F81807"/>
    <w:rsid w:val="38FB262F"/>
    <w:rsid w:val="39035CDF"/>
    <w:rsid w:val="3913434D"/>
    <w:rsid w:val="392049D2"/>
    <w:rsid w:val="39214145"/>
    <w:rsid w:val="392A6C20"/>
    <w:rsid w:val="393A0538"/>
    <w:rsid w:val="394D720C"/>
    <w:rsid w:val="39503787"/>
    <w:rsid w:val="39583E3B"/>
    <w:rsid w:val="398B2964"/>
    <w:rsid w:val="399711F1"/>
    <w:rsid w:val="39C74FD4"/>
    <w:rsid w:val="39E9692C"/>
    <w:rsid w:val="39F66B39"/>
    <w:rsid w:val="3A0400B1"/>
    <w:rsid w:val="3A065CA2"/>
    <w:rsid w:val="3A8920C9"/>
    <w:rsid w:val="3AB77303"/>
    <w:rsid w:val="3ABC534F"/>
    <w:rsid w:val="3AC73C5C"/>
    <w:rsid w:val="3AD23E17"/>
    <w:rsid w:val="3ADC064C"/>
    <w:rsid w:val="3ADD0FDD"/>
    <w:rsid w:val="3AEA35BF"/>
    <w:rsid w:val="3B070558"/>
    <w:rsid w:val="3B140FB2"/>
    <w:rsid w:val="3B1515BD"/>
    <w:rsid w:val="3B1D1656"/>
    <w:rsid w:val="3B325FE3"/>
    <w:rsid w:val="3B597095"/>
    <w:rsid w:val="3BA61110"/>
    <w:rsid w:val="3BAA0973"/>
    <w:rsid w:val="3BDB2826"/>
    <w:rsid w:val="3BE63988"/>
    <w:rsid w:val="3C546AB3"/>
    <w:rsid w:val="3C77521E"/>
    <w:rsid w:val="3CAE7812"/>
    <w:rsid w:val="3CE128A7"/>
    <w:rsid w:val="3CFC2AFB"/>
    <w:rsid w:val="3CFD31CB"/>
    <w:rsid w:val="3D0F79FE"/>
    <w:rsid w:val="3D1873F0"/>
    <w:rsid w:val="3DA87781"/>
    <w:rsid w:val="3DB45492"/>
    <w:rsid w:val="3DC46E4B"/>
    <w:rsid w:val="3DD16669"/>
    <w:rsid w:val="3E0D21AB"/>
    <w:rsid w:val="3E250795"/>
    <w:rsid w:val="3E2825D1"/>
    <w:rsid w:val="3E330D8A"/>
    <w:rsid w:val="3E3413F1"/>
    <w:rsid w:val="3E3E0B95"/>
    <w:rsid w:val="3E47214E"/>
    <w:rsid w:val="3E47394A"/>
    <w:rsid w:val="3E525117"/>
    <w:rsid w:val="3E543A40"/>
    <w:rsid w:val="3E7D1948"/>
    <w:rsid w:val="3E8701BE"/>
    <w:rsid w:val="3F1B2370"/>
    <w:rsid w:val="3F395C5F"/>
    <w:rsid w:val="3F7255AA"/>
    <w:rsid w:val="3FA47454"/>
    <w:rsid w:val="3FAB1604"/>
    <w:rsid w:val="3FAF1A7E"/>
    <w:rsid w:val="3FB362FA"/>
    <w:rsid w:val="3FB65969"/>
    <w:rsid w:val="3FF70C2E"/>
    <w:rsid w:val="40407791"/>
    <w:rsid w:val="40BF4001"/>
    <w:rsid w:val="40C127B5"/>
    <w:rsid w:val="40D073B6"/>
    <w:rsid w:val="41117DB5"/>
    <w:rsid w:val="411448C4"/>
    <w:rsid w:val="413B5589"/>
    <w:rsid w:val="41763073"/>
    <w:rsid w:val="41900AFD"/>
    <w:rsid w:val="41A225FB"/>
    <w:rsid w:val="41D34149"/>
    <w:rsid w:val="41E30D7D"/>
    <w:rsid w:val="41EB156D"/>
    <w:rsid w:val="422A7BF0"/>
    <w:rsid w:val="4242269B"/>
    <w:rsid w:val="428B0C3E"/>
    <w:rsid w:val="42FD0199"/>
    <w:rsid w:val="4307005F"/>
    <w:rsid w:val="43081F6F"/>
    <w:rsid w:val="43125D7D"/>
    <w:rsid w:val="43196379"/>
    <w:rsid w:val="4326773C"/>
    <w:rsid w:val="4391003D"/>
    <w:rsid w:val="43932EF3"/>
    <w:rsid w:val="439B78FC"/>
    <w:rsid w:val="440914AE"/>
    <w:rsid w:val="440B147A"/>
    <w:rsid w:val="441F7CDC"/>
    <w:rsid w:val="443578E2"/>
    <w:rsid w:val="4446213C"/>
    <w:rsid w:val="444A6459"/>
    <w:rsid w:val="444B31DF"/>
    <w:rsid w:val="444F07DA"/>
    <w:rsid w:val="44927C0E"/>
    <w:rsid w:val="44B32010"/>
    <w:rsid w:val="44BB0AFD"/>
    <w:rsid w:val="44CD67B2"/>
    <w:rsid w:val="44EB10E9"/>
    <w:rsid w:val="44F745DC"/>
    <w:rsid w:val="45263309"/>
    <w:rsid w:val="45522B61"/>
    <w:rsid w:val="459F36B3"/>
    <w:rsid w:val="46035192"/>
    <w:rsid w:val="46465448"/>
    <w:rsid w:val="47111E5A"/>
    <w:rsid w:val="47191400"/>
    <w:rsid w:val="47351CE2"/>
    <w:rsid w:val="473A48F3"/>
    <w:rsid w:val="475847B4"/>
    <w:rsid w:val="47640E82"/>
    <w:rsid w:val="47785D5A"/>
    <w:rsid w:val="479D753A"/>
    <w:rsid w:val="47C37CD7"/>
    <w:rsid w:val="47C92079"/>
    <w:rsid w:val="47FF5C6C"/>
    <w:rsid w:val="480F57AF"/>
    <w:rsid w:val="4832793C"/>
    <w:rsid w:val="48722252"/>
    <w:rsid w:val="487324EF"/>
    <w:rsid w:val="48B87781"/>
    <w:rsid w:val="48CA2DE9"/>
    <w:rsid w:val="48D015FB"/>
    <w:rsid w:val="497145A7"/>
    <w:rsid w:val="49933603"/>
    <w:rsid w:val="49A844A1"/>
    <w:rsid w:val="49AB7635"/>
    <w:rsid w:val="49D91446"/>
    <w:rsid w:val="4A202387"/>
    <w:rsid w:val="4A2A311C"/>
    <w:rsid w:val="4A6C6D12"/>
    <w:rsid w:val="4ACA194F"/>
    <w:rsid w:val="4AD53175"/>
    <w:rsid w:val="4B03705F"/>
    <w:rsid w:val="4B160CBA"/>
    <w:rsid w:val="4B211A07"/>
    <w:rsid w:val="4B3403CA"/>
    <w:rsid w:val="4B3A6779"/>
    <w:rsid w:val="4B3B0BEE"/>
    <w:rsid w:val="4B5976BB"/>
    <w:rsid w:val="4BBB2227"/>
    <w:rsid w:val="4BBF4E98"/>
    <w:rsid w:val="4BBF6671"/>
    <w:rsid w:val="4BC17CE3"/>
    <w:rsid w:val="4BF804AC"/>
    <w:rsid w:val="4C455B57"/>
    <w:rsid w:val="4CEF42A4"/>
    <w:rsid w:val="4CFE26DE"/>
    <w:rsid w:val="4D0F5CD2"/>
    <w:rsid w:val="4D167E14"/>
    <w:rsid w:val="4D6B43EF"/>
    <w:rsid w:val="4D7D6EA9"/>
    <w:rsid w:val="4DA44CDC"/>
    <w:rsid w:val="4DAA790E"/>
    <w:rsid w:val="4DE034CF"/>
    <w:rsid w:val="4DE23FFD"/>
    <w:rsid w:val="4DF6229B"/>
    <w:rsid w:val="4E386FFE"/>
    <w:rsid w:val="4E6A3522"/>
    <w:rsid w:val="4EBC40BC"/>
    <w:rsid w:val="4ECA4B41"/>
    <w:rsid w:val="4FA018FB"/>
    <w:rsid w:val="4FBA544F"/>
    <w:rsid w:val="4FC339C0"/>
    <w:rsid w:val="4FCB386C"/>
    <w:rsid w:val="4FEA0245"/>
    <w:rsid w:val="4FF20A93"/>
    <w:rsid w:val="5015073A"/>
    <w:rsid w:val="504B7FF4"/>
    <w:rsid w:val="507762E4"/>
    <w:rsid w:val="508C26EB"/>
    <w:rsid w:val="508C4276"/>
    <w:rsid w:val="50B062DF"/>
    <w:rsid w:val="50B115D1"/>
    <w:rsid w:val="50B57B0F"/>
    <w:rsid w:val="50F3711A"/>
    <w:rsid w:val="510469B5"/>
    <w:rsid w:val="511B4BB7"/>
    <w:rsid w:val="51305909"/>
    <w:rsid w:val="51695768"/>
    <w:rsid w:val="519F6EF2"/>
    <w:rsid w:val="51AD7D05"/>
    <w:rsid w:val="51C5747F"/>
    <w:rsid w:val="521427CE"/>
    <w:rsid w:val="522C2C34"/>
    <w:rsid w:val="523601F3"/>
    <w:rsid w:val="523B5A1C"/>
    <w:rsid w:val="52520E92"/>
    <w:rsid w:val="5263427A"/>
    <w:rsid w:val="527C31F4"/>
    <w:rsid w:val="528744D0"/>
    <w:rsid w:val="529011F2"/>
    <w:rsid w:val="530A4BA6"/>
    <w:rsid w:val="5316015D"/>
    <w:rsid w:val="531F0184"/>
    <w:rsid w:val="534A3B3F"/>
    <w:rsid w:val="53631D6C"/>
    <w:rsid w:val="537B2CE6"/>
    <w:rsid w:val="53BA0292"/>
    <w:rsid w:val="53D04C5F"/>
    <w:rsid w:val="53D40ED6"/>
    <w:rsid w:val="54222D95"/>
    <w:rsid w:val="543538EF"/>
    <w:rsid w:val="544B5E22"/>
    <w:rsid w:val="548C6950"/>
    <w:rsid w:val="54F660D4"/>
    <w:rsid w:val="55075A2D"/>
    <w:rsid w:val="55440884"/>
    <w:rsid w:val="55675A8C"/>
    <w:rsid w:val="55812F7A"/>
    <w:rsid w:val="55883733"/>
    <w:rsid w:val="55BA2DFB"/>
    <w:rsid w:val="55D8447F"/>
    <w:rsid w:val="565D5D01"/>
    <w:rsid w:val="56660FD8"/>
    <w:rsid w:val="56687250"/>
    <w:rsid w:val="56707212"/>
    <w:rsid w:val="5685403A"/>
    <w:rsid w:val="568633B7"/>
    <w:rsid w:val="568E6439"/>
    <w:rsid w:val="56E85847"/>
    <w:rsid w:val="570B39FA"/>
    <w:rsid w:val="57101FE7"/>
    <w:rsid w:val="573332EA"/>
    <w:rsid w:val="57384B5F"/>
    <w:rsid w:val="573D5FFD"/>
    <w:rsid w:val="574D4BA9"/>
    <w:rsid w:val="57695E60"/>
    <w:rsid w:val="579E6CDD"/>
    <w:rsid w:val="57BB0B05"/>
    <w:rsid w:val="57D46991"/>
    <w:rsid w:val="58372DEA"/>
    <w:rsid w:val="58390E54"/>
    <w:rsid w:val="584520F7"/>
    <w:rsid w:val="58463153"/>
    <w:rsid w:val="5857158B"/>
    <w:rsid w:val="586865F8"/>
    <w:rsid w:val="58857ED8"/>
    <w:rsid w:val="58954F98"/>
    <w:rsid w:val="58AC060F"/>
    <w:rsid w:val="58CF7A18"/>
    <w:rsid w:val="58DE1848"/>
    <w:rsid w:val="58E60538"/>
    <w:rsid w:val="58E92961"/>
    <w:rsid w:val="59006FD1"/>
    <w:rsid w:val="59204071"/>
    <w:rsid w:val="59576DA4"/>
    <w:rsid w:val="59FA531B"/>
    <w:rsid w:val="5A0D4728"/>
    <w:rsid w:val="5A3C2F9E"/>
    <w:rsid w:val="5A5C5108"/>
    <w:rsid w:val="5A6C54A2"/>
    <w:rsid w:val="5A7344BC"/>
    <w:rsid w:val="5A743A18"/>
    <w:rsid w:val="5AAF0F0A"/>
    <w:rsid w:val="5B113CD7"/>
    <w:rsid w:val="5B1953DA"/>
    <w:rsid w:val="5B2553BC"/>
    <w:rsid w:val="5B423CFB"/>
    <w:rsid w:val="5B5238F8"/>
    <w:rsid w:val="5B7306C3"/>
    <w:rsid w:val="5B8F5722"/>
    <w:rsid w:val="5BD50AAE"/>
    <w:rsid w:val="5C2166C4"/>
    <w:rsid w:val="5C406CEE"/>
    <w:rsid w:val="5C743928"/>
    <w:rsid w:val="5CA84D10"/>
    <w:rsid w:val="5CB427D9"/>
    <w:rsid w:val="5CCF6159"/>
    <w:rsid w:val="5CD0167D"/>
    <w:rsid w:val="5CF7049E"/>
    <w:rsid w:val="5CFD21A5"/>
    <w:rsid w:val="5D2242B4"/>
    <w:rsid w:val="5D574851"/>
    <w:rsid w:val="5D5C5C66"/>
    <w:rsid w:val="5D7E62FC"/>
    <w:rsid w:val="5D9D74B9"/>
    <w:rsid w:val="5DAC0844"/>
    <w:rsid w:val="5DBB3FB7"/>
    <w:rsid w:val="5E2E22E3"/>
    <w:rsid w:val="5E5B4E53"/>
    <w:rsid w:val="5E8C14B0"/>
    <w:rsid w:val="5E8F307A"/>
    <w:rsid w:val="5EB73272"/>
    <w:rsid w:val="5EC329F7"/>
    <w:rsid w:val="5EDB1E3E"/>
    <w:rsid w:val="5EEE4822"/>
    <w:rsid w:val="5EFE1FF9"/>
    <w:rsid w:val="5F2351D5"/>
    <w:rsid w:val="5F774B7D"/>
    <w:rsid w:val="5F9B07E3"/>
    <w:rsid w:val="60141469"/>
    <w:rsid w:val="602533DA"/>
    <w:rsid w:val="602B345B"/>
    <w:rsid w:val="60654DBA"/>
    <w:rsid w:val="60743460"/>
    <w:rsid w:val="60881C13"/>
    <w:rsid w:val="609D1752"/>
    <w:rsid w:val="60A51583"/>
    <w:rsid w:val="60CB7814"/>
    <w:rsid w:val="60EC6022"/>
    <w:rsid w:val="610406F2"/>
    <w:rsid w:val="610E0513"/>
    <w:rsid w:val="614E6E08"/>
    <w:rsid w:val="61AB0698"/>
    <w:rsid w:val="61AF0C3E"/>
    <w:rsid w:val="61C95BAC"/>
    <w:rsid w:val="62037594"/>
    <w:rsid w:val="62163979"/>
    <w:rsid w:val="62481C53"/>
    <w:rsid w:val="626B79B0"/>
    <w:rsid w:val="62B86D17"/>
    <w:rsid w:val="62BF47A5"/>
    <w:rsid w:val="62EE398B"/>
    <w:rsid w:val="63260A0C"/>
    <w:rsid w:val="637952F6"/>
    <w:rsid w:val="638024DE"/>
    <w:rsid w:val="639C002B"/>
    <w:rsid w:val="63E37B98"/>
    <w:rsid w:val="63EF5E82"/>
    <w:rsid w:val="640450E8"/>
    <w:rsid w:val="641E687A"/>
    <w:rsid w:val="64775CA9"/>
    <w:rsid w:val="6483220D"/>
    <w:rsid w:val="64A74D84"/>
    <w:rsid w:val="64AE267A"/>
    <w:rsid w:val="64D213A9"/>
    <w:rsid w:val="64FC7087"/>
    <w:rsid w:val="65A66BD9"/>
    <w:rsid w:val="65BC599C"/>
    <w:rsid w:val="665730DD"/>
    <w:rsid w:val="6684253E"/>
    <w:rsid w:val="66E704E6"/>
    <w:rsid w:val="67061FEB"/>
    <w:rsid w:val="670773FB"/>
    <w:rsid w:val="67505C0C"/>
    <w:rsid w:val="67706D39"/>
    <w:rsid w:val="67C418F1"/>
    <w:rsid w:val="67FD6FC1"/>
    <w:rsid w:val="68043516"/>
    <w:rsid w:val="6839117E"/>
    <w:rsid w:val="685D081F"/>
    <w:rsid w:val="68746B01"/>
    <w:rsid w:val="688847E9"/>
    <w:rsid w:val="688A11A9"/>
    <w:rsid w:val="688D6C13"/>
    <w:rsid w:val="68993C4D"/>
    <w:rsid w:val="68A83E34"/>
    <w:rsid w:val="68CC1E09"/>
    <w:rsid w:val="68E8332F"/>
    <w:rsid w:val="690C46CF"/>
    <w:rsid w:val="690F1F87"/>
    <w:rsid w:val="69442D8A"/>
    <w:rsid w:val="694D3407"/>
    <w:rsid w:val="694E1E42"/>
    <w:rsid w:val="69941D8F"/>
    <w:rsid w:val="69982D14"/>
    <w:rsid w:val="69A55B1C"/>
    <w:rsid w:val="6A077C02"/>
    <w:rsid w:val="6A086A22"/>
    <w:rsid w:val="6A8F353D"/>
    <w:rsid w:val="6AEC48E8"/>
    <w:rsid w:val="6AF91D5B"/>
    <w:rsid w:val="6B623B62"/>
    <w:rsid w:val="6B934331"/>
    <w:rsid w:val="6B95086E"/>
    <w:rsid w:val="6BA96FAE"/>
    <w:rsid w:val="6C2166A2"/>
    <w:rsid w:val="6C2B29AA"/>
    <w:rsid w:val="6C552AB2"/>
    <w:rsid w:val="6C6465D3"/>
    <w:rsid w:val="6C79087E"/>
    <w:rsid w:val="6C810FA2"/>
    <w:rsid w:val="6C9D2C7F"/>
    <w:rsid w:val="6CE10634"/>
    <w:rsid w:val="6CF5576E"/>
    <w:rsid w:val="6D016CB0"/>
    <w:rsid w:val="6D1716A3"/>
    <w:rsid w:val="6DAD4554"/>
    <w:rsid w:val="6DBD5145"/>
    <w:rsid w:val="6DC33C87"/>
    <w:rsid w:val="6DD349BB"/>
    <w:rsid w:val="6DDB62C2"/>
    <w:rsid w:val="6DE93678"/>
    <w:rsid w:val="6DFC768D"/>
    <w:rsid w:val="6E1D584A"/>
    <w:rsid w:val="6E477627"/>
    <w:rsid w:val="6E9846CC"/>
    <w:rsid w:val="6F0178D1"/>
    <w:rsid w:val="6F3F0722"/>
    <w:rsid w:val="6F5B2A01"/>
    <w:rsid w:val="6F902197"/>
    <w:rsid w:val="6F99193D"/>
    <w:rsid w:val="6F995876"/>
    <w:rsid w:val="6FA50CF6"/>
    <w:rsid w:val="6FB65A48"/>
    <w:rsid w:val="6FBF71D4"/>
    <w:rsid w:val="70001988"/>
    <w:rsid w:val="70245834"/>
    <w:rsid w:val="703D061A"/>
    <w:rsid w:val="7096293F"/>
    <w:rsid w:val="70A254D7"/>
    <w:rsid w:val="70B83290"/>
    <w:rsid w:val="70F97E9A"/>
    <w:rsid w:val="710E7E11"/>
    <w:rsid w:val="71300087"/>
    <w:rsid w:val="71513E1F"/>
    <w:rsid w:val="71665F75"/>
    <w:rsid w:val="716B2A07"/>
    <w:rsid w:val="7171170E"/>
    <w:rsid w:val="71896D6F"/>
    <w:rsid w:val="718E58B1"/>
    <w:rsid w:val="71944A1B"/>
    <w:rsid w:val="71A254C5"/>
    <w:rsid w:val="71BE2D84"/>
    <w:rsid w:val="71D36A8E"/>
    <w:rsid w:val="721A62D7"/>
    <w:rsid w:val="725A4364"/>
    <w:rsid w:val="72A71204"/>
    <w:rsid w:val="72BD45C4"/>
    <w:rsid w:val="72DD1E82"/>
    <w:rsid w:val="72FD53E4"/>
    <w:rsid w:val="73820147"/>
    <w:rsid w:val="73B73CAF"/>
    <w:rsid w:val="73BC6C24"/>
    <w:rsid w:val="73F5466F"/>
    <w:rsid w:val="73FC6ADB"/>
    <w:rsid w:val="742F31D0"/>
    <w:rsid w:val="743C70F5"/>
    <w:rsid w:val="746211A4"/>
    <w:rsid w:val="74745B45"/>
    <w:rsid w:val="75690EE7"/>
    <w:rsid w:val="75767ACF"/>
    <w:rsid w:val="75CB4679"/>
    <w:rsid w:val="75E75A2C"/>
    <w:rsid w:val="76582070"/>
    <w:rsid w:val="76A22074"/>
    <w:rsid w:val="76E145EE"/>
    <w:rsid w:val="76F20AAE"/>
    <w:rsid w:val="771338B5"/>
    <w:rsid w:val="772F2DE0"/>
    <w:rsid w:val="7760512C"/>
    <w:rsid w:val="77614B6B"/>
    <w:rsid w:val="77676E63"/>
    <w:rsid w:val="7786768B"/>
    <w:rsid w:val="77A51C6A"/>
    <w:rsid w:val="77B27D81"/>
    <w:rsid w:val="77C24B37"/>
    <w:rsid w:val="77F441BE"/>
    <w:rsid w:val="78121B43"/>
    <w:rsid w:val="784666EB"/>
    <w:rsid w:val="785337E2"/>
    <w:rsid w:val="785E518C"/>
    <w:rsid w:val="78C308AB"/>
    <w:rsid w:val="78CC5AC2"/>
    <w:rsid w:val="78F152AC"/>
    <w:rsid w:val="79005E33"/>
    <w:rsid w:val="790A1F17"/>
    <w:rsid w:val="79201E39"/>
    <w:rsid w:val="792E0AEA"/>
    <w:rsid w:val="795F7A95"/>
    <w:rsid w:val="79764FD6"/>
    <w:rsid w:val="79AF5285"/>
    <w:rsid w:val="79E4601B"/>
    <w:rsid w:val="7A037639"/>
    <w:rsid w:val="7A197DB6"/>
    <w:rsid w:val="7A205DD2"/>
    <w:rsid w:val="7A590FC4"/>
    <w:rsid w:val="7A7C67B2"/>
    <w:rsid w:val="7A806ABE"/>
    <w:rsid w:val="7AAA7F27"/>
    <w:rsid w:val="7AB820F3"/>
    <w:rsid w:val="7B247B36"/>
    <w:rsid w:val="7B44790D"/>
    <w:rsid w:val="7B797889"/>
    <w:rsid w:val="7B8C46C1"/>
    <w:rsid w:val="7B954F14"/>
    <w:rsid w:val="7BC02323"/>
    <w:rsid w:val="7C13380F"/>
    <w:rsid w:val="7C1E49BA"/>
    <w:rsid w:val="7C7D103B"/>
    <w:rsid w:val="7C8606A5"/>
    <w:rsid w:val="7D2A7884"/>
    <w:rsid w:val="7D4D29A6"/>
    <w:rsid w:val="7D6F6703"/>
    <w:rsid w:val="7D876979"/>
    <w:rsid w:val="7DAA6F93"/>
    <w:rsid w:val="7DBF6967"/>
    <w:rsid w:val="7DF01D0A"/>
    <w:rsid w:val="7E35673A"/>
    <w:rsid w:val="7E6D0054"/>
    <w:rsid w:val="7EC01C5C"/>
    <w:rsid w:val="7EC81DEB"/>
    <w:rsid w:val="7EEE779B"/>
    <w:rsid w:val="7F140B3A"/>
    <w:rsid w:val="7F801789"/>
    <w:rsid w:val="7F93462C"/>
    <w:rsid w:val="7F9976BE"/>
    <w:rsid w:val="7FA6791F"/>
    <w:rsid w:val="7FC3578C"/>
    <w:rsid w:val="7FC87AF6"/>
    <w:rsid w:val="7FF41861"/>
    <w:rsid w:val="7FF61E4A"/>
    <w:rsid w:val="E4BBA17A"/>
    <w:rsid w:val="FF6D2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6"/>
    <w:next w:val="6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7">
    <w:name w:val="heading 3"/>
    <w:basedOn w:val="6"/>
    <w:next w:val="1"/>
    <w:unhideWhenUsed/>
    <w:qFormat/>
    <w:uiPriority w:val="0"/>
    <w:pPr>
      <w:keepNext/>
      <w:keepLines/>
      <w:numPr>
        <w:ilvl w:val="2"/>
        <w:numId w:val="1"/>
      </w:numPr>
      <w:tabs>
        <w:tab w:val="left" w:pos="0"/>
      </w:tabs>
      <w:outlineLvl w:val="2"/>
    </w:pPr>
    <w:rPr>
      <w:b/>
      <w:sz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next w:val="4"/>
    <w:qFormat/>
    <w:uiPriority w:val="0"/>
    <w:pPr>
      <w:spacing w:line="600" w:lineRule="auto"/>
    </w:pPr>
  </w:style>
  <w:style w:type="paragraph" w:styleId="4">
    <w:name w:val="Date"/>
    <w:basedOn w:val="1"/>
    <w:next w:val="1"/>
    <w:qFormat/>
    <w:uiPriority w:val="0"/>
    <w:rPr>
      <w:rFonts w:eastAsia="宋体"/>
      <w:sz w:val="24"/>
      <w:szCs w:val="20"/>
    </w:rPr>
  </w:style>
  <w:style w:type="paragraph" w:customStyle="1" w:styleId="6">
    <w:name w:val="正文1"/>
    <w:qFormat/>
    <w:uiPriority w:val="0"/>
    <w:pPr>
      <w:widowControl w:val="0"/>
      <w:spacing w:line="360" w:lineRule="auto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character" w:customStyle="1" w:styleId="12">
    <w:name w:val="font51"/>
    <w:basedOn w:val="10"/>
    <w:qFormat/>
    <w:uiPriority w:val="0"/>
    <w:rPr>
      <w:rFonts w:ascii="仿宋_GB2312" w:eastAsia="仿宋_GB2312" w:cs="仿宋_GB2312"/>
      <w:color w:val="000000"/>
      <w:sz w:val="12"/>
      <w:szCs w:val="12"/>
      <w:u w:val="none"/>
    </w:rPr>
  </w:style>
  <w:style w:type="character" w:customStyle="1" w:styleId="13">
    <w:name w:val="font41"/>
    <w:basedOn w:val="10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229</Words>
  <Characters>1309</Characters>
  <Lines>10</Lines>
  <Paragraphs>3</Paragraphs>
  <TotalTime>1</TotalTime>
  <ScaleCrop>false</ScaleCrop>
  <LinksUpToDate>false</LinksUpToDate>
  <CharactersWithSpaces>1535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2023-05-31T04:03:00Z</dcterms:created>
  <dc:creator>Administrator</dc:creator>
  <cp:lastModifiedBy>小疯子</cp:lastModifiedBy>
  <cp:lastPrinted>2023-07-03T16:17:00Z</cp:lastPrinted>
  <dcterms:modified xsi:type="dcterms:W3CDTF">2023-10-16T08:21:59Z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0E8879062ECB4A75B929232B7E9548C8</vt:lpwstr>
  </property>
</Properties>
</file>